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ook w:firstColumn="1" w:firstRow="1" w:lastColumn="0" w:lastRow="0" w:noHBand="0" w:noVBand="1" w:val="04A0"/>
      </w:tblPr>
      <w:tblGrid>
        <w:gridCol w:w="9406"/>
      </w:tblGrid>
      <w:tr>
        <w:tc>
          <w:tcPr>
            <w:tcW w:type="dxa" w:w="9406"/>
            <w:shd w:val="clear" w:color="auto" w:fill="2E5090"/>
          </w:tcPr>
          <w:p>
            <w:pPr>
              <w:jc w:val="center"/>
            </w:pPr>
            <w:r>
              <w:rPr>
                <w:b/>
                <w:color w:val="FFFFFF"/>
                <w:sz w:val="26"/>
              </w:rPr>
              <w:t>ДОГОВОР АРЕНДЫ СКЛАДСКОГО ПОМЕЩЕНИЯ № СК-2024/088</w:t>
            </w:r>
          </w:p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D9E2F3"/>
          </w:tcPr>
          <w:p>
            <w:r>
              <w:rPr>
                <w:b/>
                <w:sz w:val="18"/>
              </w:rPr>
              <w:t>Дата:</w:t>
            </w:r>
          </w:p>
        </w:tc>
        <w:tc>
          <w:tcPr>
            <w:tcW w:type="dxa" w:w="2351"/>
            <w:shd w:val="clear" w:color="auto" w:fill="D9E2F3"/>
          </w:tcPr>
          <w:p>
            <w:r>
              <w:rPr>
                <w:b/>
                <w:sz w:val="18"/>
              </w:rPr>
              <w:t>Город:</w:t>
            </w:r>
          </w:p>
        </w:tc>
        <w:tc>
          <w:tcPr>
            <w:tcW w:type="dxa" w:w="2351"/>
            <w:shd w:val="clear" w:color="auto" w:fill="D9E2F3"/>
          </w:tcPr>
          <w:p>
            <w:r>
              <w:rPr>
                <w:b/>
                <w:sz w:val="18"/>
              </w:rPr>
              <w:t>Арендодатель:</w:t>
            </w:r>
          </w:p>
        </w:tc>
        <w:tc>
          <w:tcPr>
            <w:tcW w:type="dxa" w:w="2351"/>
            <w:shd w:val="clear" w:color="auto" w:fill="D9E2F3"/>
          </w:tcPr>
          <w:p>
            <w:r>
              <w:rPr>
                <w:b/>
                <w:sz w:val="18"/>
              </w:rPr>
              <w:t>Арендатор:</w:t>
            </w:r>
          </w:p>
        </w:tc>
      </w:tr>
      <w:tr>
        <w:tc>
          <w:tcPr>
            <w:tcW w:type="dxa" w:w="2351"/>
          </w:tcPr>
          <w:p>
            <w:r>
              <w:rPr>
                <w:sz w:val="18"/>
              </w:rPr>
              <w:t>«___» _______ 2024</w:t>
            </w:r>
          </w:p>
        </w:tc>
        <w:tc>
          <w:tcPr>
            <w:tcW w:type="dxa" w:w="2351"/>
          </w:tcPr>
          <w:p>
            <w:r>
              <w:rPr>
                <w:sz w:val="18"/>
              </w:rPr>
              <w:t>Санкт-Петербург</w:t>
            </w:r>
          </w:p>
        </w:tc>
        <w:tc>
          <w:tcPr>
            <w:tcW w:type="dxa" w:w="2351"/>
          </w:tcPr>
          <w:p>
            <w:r>
              <w:rPr>
                <w:sz w:val="18"/>
              </w:rPr>
              <w:t>ООО «СтораджГрупп»</w:t>
            </w:r>
          </w:p>
        </w:tc>
        <w:tc>
          <w:tcPr>
            <w:tcW w:type="dxa" w:w="2351"/>
          </w:tcPr>
          <w:p>
            <w:r>
              <w:rPr>
                <w:sz w:val="18"/>
              </w:rPr>
              <w:t>____________________</w:t>
            </w:r>
          </w:p>
        </w:tc>
      </w:tr>
    </w:tbl>
    <w:p/>
    <w:p>
      <w:r>
        <w:rPr>
          <w:b/>
        </w:rPr>
        <w:t>ТЕРМИНЫ И ОПРЕДЕЛЕНИЯ</w:t>
      </w:r>
    </w:p>
    <w:p>
      <w:pPr>
        <w:spacing w:after="60"/>
      </w:pPr>
      <w:r>
        <w:rPr>
          <w:b/>
        </w:rPr>
        <w:t>«Помещение»</w:t>
      </w:r>
      <w:r>
        <w:t>— нежилое складское помещение площадью 420 кв. м (кадастровый номер 78:12:1234567:890), расположенное по адресу: г. Санкт-Петербург, Колпинское шоссе, д. 7, лит. В, этаж 1. Площадь включает в себя как основные складские зоны, так и вспомогательные помещения, коридоры и зоны общего пользования, приходящиеся на долю Помещения.</w:t>
      </w:r>
    </w:p>
    <w:p>
      <w:pPr>
        <w:spacing w:after="60"/>
      </w:pPr>
      <w:r>
        <w:rPr>
          <w:b/>
        </w:rPr>
        <w:t>«Арендная плата»</w:t>
      </w:r>
      <w:r>
        <w:t>— ежемесячный платёж за пользование Помещением. Не включает НДС, операционные расходы, расходы на охрану, вывоз отходов, уборку мест общего пользования, интернет-инфраструктуру здания и парковочный сбор.</w:t>
      </w:r>
    </w:p>
    <w:p>
      <w:pPr>
        <w:spacing w:after="60"/>
      </w:pPr>
      <w:r>
        <w:rPr>
          <w:b/>
        </w:rPr>
        <w:t>«Операционные расходы»</w:t>
      </w:r>
      <w:r>
        <w:t>— все расходы, связанные с эксплуатацией здания, определяемые ежеквартально Арендодателем или управляющей компанией по собственному усмотрению. Арендатор оплачивает долю операционных расходов пропорционально площади Помещения.</w:t>
      </w:r>
    </w:p>
    <w:p>
      <w:pPr>
        <w:spacing w:after="60"/>
      </w:pPr>
      <w:r>
        <w:rPr>
          <w:b/>
        </w:rPr>
        <w:t>«Улучшения»</w:t>
      </w:r>
      <w:r>
        <w:t>— любые изменения, модификации или дополнения к Помещению, произведённые Арендатором. Все Улучшения переходят в собственность Арендодателя на безвозмездной основе с момента их создания, если Стороны не договорились об ином в письменной форме.</w:t>
      </w:r>
    </w:p>
    <w:p>
      <w:pPr>
        <w:spacing w:after="60"/>
      </w:pPr>
      <w:r>
        <w:rPr>
          <w:b/>
        </w:rPr>
        <w:t>«Рабочее время»</w:t>
      </w:r>
      <w:r>
        <w:t>— период с 09:00 до 18:00 в рабочие дни. Доступ в Помещение за пределами рабочего времени возможен при наличии дополнительного соглашения об оплате охранных услуг в размере 5 000 рублей за каждый начатый час.</w:t>
      </w:r>
    </w:p>
    <w:p/>
    <w:p>
      <w:r>
        <w:rPr>
          <w:b/>
          <w:color w:val="2E5090"/>
        </w:rPr>
        <w:t>1. ФИНАНСОВЫЕ УСЛОВИЯ</w:t>
      </w:r>
    </w:p>
    <w:p>
      <w:pPr>
        <w:spacing w:after="60"/>
        <w:ind w:left="283"/>
        <w:jc w:val="both"/>
      </w:pPr>
      <w:r>
        <w:rPr>
          <w:b/>
        </w:rPr>
        <w:t xml:space="preserve">1.1. </w:t>
      </w:r>
      <w:r>
        <w:t>Базовая арендная плата: 380 000 рублей/месяц (без НДС).</w:t>
      </w:r>
    </w:p>
    <w:p>
      <w:pPr>
        <w:spacing w:after="60"/>
        <w:ind w:left="283"/>
        <w:jc w:val="both"/>
      </w:pPr>
      <w:r>
        <w:rPr>
          <w:b/>
        </w:rPr>
        <w:t xml:space="preserve">1.2. </w:t>
      </w:r>
      <w:r>
        <w:t>Индексация: ежегодно 1 января на величину ИПЦ (потребительская инфляция) по данным Росстата за истекший год плюс 3 (три) процентных пункта.</w:t>
      </w:r>
    </w:p>
    <w:p>
      <w:pPr>
        <w:spacing w:after="60"/>
        <w:ind w:left="283"/>
        <w:jc w:val="both"/>
      </w:pPr>
      <w:r>
        <w:rPr>
          <w:b/>
        </w:rPr>
        <w:t xml:space="preserve">1.3. </w:t>
      </w:r>
      <w:r>
        <w:t>Операционные расходы оплачиваются отдельно по выставленным счетам в течение 5 (пяти) банковских дней. Ориентировочный размер — 45 000–70 000 рублей в месяц, но не ограничен данным диапазоном.</w:t>
      </w:r>
    </w:p>
    <w:p>
      <w:pPr>
        <w:spacing w:after="60"/>
        <w:ind w:left="283"/>
        <w:jc w:val="both"/>
      </w:pPr>
      <w:r>
        <w:rPr>
          <w:b/>
        </w:rPr>
        <w:t xml:space="preserve">1.4. </w:t>
      </w:r>
      <w:r>
        <w:t>Депозит: 3 (три) месячные арендные платы — 1 140 000 рублей. Депозит возвращается в течение 45 рабочих дней после подписания акта возврата Помещения при условии, что у Арендодателя отсутствуют финансовые претензии.</w:t>
      </w:r>
    </w:p>
    <w:p>
      <w:pPr>
        <w:spacing w:after="60"/>
        <w:ind w:left="283"/>
        <w:jc w:val="both"/>
      </w:pPr>
      <w:r>
        <w:rPr>
          <w:b/>
        </w:rPr>
        <w:t xml:space="preserve">1.5. </w:t>
      </w:r>
      <w:r>
        <w:t>При просрочке оплаты свыше 3 (трёх) дней Арендодатель вправе начислить пеню 0,2% в день и ограничить въезд транспортных средств на территорию объекта.</w:t>
      </w:r>
    </w:p>
    <w:p>
      <w:r>
        <w:rPr>
          <w:b/>
          <w:color w:val="2E5090"/>
        </w:rPr>
        <w:t>2. ТЕХНИЧЕСКОЕ ОБСЛУЖИВАНИЕ</w:t>
      </w:r>
    </w:p>
    <w:p>
      <w:pPr>
        <w:spacing w:after="60"/>
        <w:ind w:left="283"/>
        <w:jc w:val="both"/>
      </w:pPr>
      <w:r>
        <w:rPr>
          <w:b/>
        </w:rPr>
        <w:t xml:space="preserve">2.1. </w:t>
      </w:r>
      <w:r>
        <w:t>Арендатор несёт ответственность за техническое состояние всех инженерных систем внутри Помещения: отопления, вентиляции, электрики, водоснабжения, пожаротушения и видеонаблюдения.</w:t>
      </w:r>
    </w:p>
    <w:p>
      <w:pPr>
        <w:spacing w:after="60"/>
        <w:ind w:left="283"/>
        <w:jc w:val="both"/>
      </w:pPr>
      <w:r>
        <w:rPr>
          <w:b/>
        </w:rPr>
        <w:t xml:space="preserve">2.2. </w:t>
      </w:r>
      <w:r>
        <w:t>Арендатор обязан заключить договоры технического обслуживания инженерных систем с подрядчиками, аккредитованными Арендодателем, перечень которых может обновляться Арендодателем ежеквартально.</w:t>
      </w:r>
    </w:p>
    <w:p>
      <w:pPr>
        <w:spacing w:after="60"/>
        <w:ind w:left="283"/>
        <w:jc w:val="both"/>
      </w:pPr>
      <w:r>
        <w:rPr>
          <w:b/>
        </w:rPr>
        <w:t xml:space="preserve">2.3. </w:t>
      </w:r>
      <w:r>
        <w:t>Капитальный ремонт несущих конструкций и кровли осуществляется за счёт Арендодателя, однако Арендатор обязан оплатить 30% стоимости работ в случае, если ремонт вызван действиями или бездействием Арендатора.</w:t>
      </w:r>
    </w:p>
    <w:p>
      <w:pPr>
        <w:spacing w:after="60"/>
        <w:ind w:left="283"/>
        <w:jc w:val="both"/>
      </w:pPr>
      <w:r>
        <w:rPr>
          <w:b/>
        </w:rPr>
        <w:t xml:space="preserve">2.4. </w:t>
      </w:r>
      <w:r>
        <w:t>Арендатор ежегодно проводит аудит пожарной безопасности Помещения за собственный счёт и предоставляет копию заключения Арендодателю.</w:t>
      </w:r>
    </w:p>
    <w:p>
      <w:r>
        <w:rPr>
          <w:b/>
          <w:color w:val="2E5090"/>
        </w:rPr>
        <w:t>3. СТРАХОВАНИЕ</w:t>
      </w:r>
    </w:p>
    <w:p>
      <w:pPr>
        <w:spacing w:after="60"/>
        <w:ind w:left="283"/>
        <w:jc w:val="both"/>
      </w:pPr>
      <w:r>
        <w:rPr>
          <w:b/>
        </w:rPr>
        <w:t xml:space="preserve">3.1. </w:t>
      </w:r>
      <w:r>
        <w:t>Арендатор обязан за свой счёт застраховать Помещение от рисков пожара, затопления, противоправных действий третьих лиц и гражданской ответственности на сумму не менее 50 000 000 рублей. Страховщик согласовывается с Арендодателем.</w:t>
      </w:r>
    </w:p>
    <w:p>
      <w:pPr>
        <w:spacing w:after="60"/>
        <w:ind w:left="283"/>
        <w:jc w:val="both"/>
      </w:pPr>
      <w:r>
        <w:rPr>
          <w:b/>
        </w:rPr>
        <w:t xml:space="preserve">3.2. </w:t>
      </w:r>
      <w:r>
        <w:t>Выгодоприобретателем по договору страхования имущества является Арендодатель.</w:t>
      </w:r>
    </w:p>
    <w:p>
      <w:r>
        <w:rPr>
          <w:b/>
          <w:color w:val="2E5090"/>
        </w:rPr>
        <w:t>4. СРОК И РАСТОРЖЕНИЕ</w:t>
      </w:r>
    </w:p>
    <w:p>
      <w:pPr>
        <w:spacing w:after="60"/>
        <w:ind w:left="283"/>
        <w:jc w:val="both"/>
      </w:pPr>
      <w:r>
        <w:rPr>
          <w:b/>
        </w:rPr>
        <w:t xml:space="preserve">4.1. </w:t>
      </w:r>
      <w:r>
        <w:t>Срок аренды: 3 (три) года. Договор подлежит государственной регистрации, расходы по которой несёт Арендатор.</w:t>
      </w:r>
    </w:p>
    <w:p>
      <w:pPr>
        <w:spacing w:after="60"/>
        <w:ind w:left="283"/>
        <w:jc w:val="both"/>
      </w:pPr>
      <w:r>
        <w:rPr>
          <w:b/>
        </w:rPr>
        <w:t xml:space="preserve">4.2. </w:t>
      </w:r>
      <w:r>
        <w:t>Арендатор вправе расторгнуть договор не ранее чем через 18 (восемнадцать) месяцев с момента начала аренды, уведомив за 120 (сто двадцать) дней и уплатив штраф в размере 6 (шести) месячных арендных плат.</w:t>
      </w:r>
    </w:p>
    <w:p>
      <w:pPr>
        <w:spacing w:after="60"/>
        <w:ind w:left="283"/>
        <w:jc w:val="both"/>
      </w:pPr>
      <w:r>
        <w:rPr>
          <w:b/>
        </w:rPr>
        <w:t xml:space="preserve">4.3. </w:t>
      </w:r>
      <w:r>
        <w:t>Арендодатель вправе расторгнуть договор досрочно, уведомив за 60 дней, без уплаты компенсации.</w:t>
      </w:r>
    </w:p>
    <w:p/>
    <w:p>
      <w:r>
        <w:rPr>
          <w:b/>
        </w:rPr>
        <w:t>Подписи сторон: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D9E2F3"/>
          </w:tcPr>
          <w:p>
            <w:r>
              <w:t>АРЕНДОДАТЕЛЬ</w:t>
            </w:r>
          </w:p>
        </w:tc>
        <w:tc>
          <w:tcPr>
            <w:tcW w:type="dxa" w:w="4703"/>
            <w:shd w:val="clear" w:color="auto" w:fill="D9E2F3"/>
          </w:tcPr>
          <w:p>
            <w:r>
              <w:t>АРЕНДАТОР</w:t>
            </w:r>
          </w:p>
        </w:tc>
      </w:tr>
      <w:tr>
        <w:tc>
          <w:tcPr>
            <w:tcW w:type="dxa" w:w="4703"/>
          </w:tcPr>
          <w:p>
            <w:r>
              <w:t>ООО «СтораджГрупп»</w:t>
              <w:br/>
              <w:t>ИНН 7812345678</w:t>
              <w:br/>
              <w:t>Директор Петров А.В.</w:t>
            </w:r>
          </w:p>
        </w:tc>
        <w:tc>
          <w:tcPr>
            <w:tcW w:type="dxa" w:w="4703"/>
          </w:tcPr>
          <w:p>
            <w:r>
              <w:br/>
              <w:br/>
              <w:t>Руководитель _______________</w:t>
            </w:r>
          </w:p>
        </w:tc>
      </w:tr>
      <w:tr>
        <w:tc>
          <w:tcPr>
            <w:tcW w:type="dxa" w:w="4703"/>
          </w:tcPr>
          <w:p>
            <w:r>
              <w:t>_____________ /Петров А.В./   М.П.</w:t>
            </w:r>
          </w:p>
        </w:tc>
        <w:tc>
          <w:tcPr>
            <w:tcW w:type="dxa" w:w="4703"/>
          </w:tcPr>
          <w:p>
            <w:r>
              <w:t>_____________ /_______________/   М.П.</w:t>
            </w:r>
          </w:p>
        </w:tc>
      </w:tr>
    </w:tbl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